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Stillness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stillness.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practice stillness in your daily life.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Ice breaker: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Tell us your name, two truths and a lie.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highlight w:val="white"/>
        </w:rPr>
      </w:pPr>
      <w:r w:rsidDel="00000000" w:rsidR="00000000" w:rsidRPr="00000000">
        <w:rPr>
          <w:rFonts w:ascii="Times New Roman" w:cs="Times New Roman" w:eastAsia="Times New Roman" w:hAnsi="Times New Roman"/>
          <w:b w:val="1"/>
          <w:highlight w:val="white"/>
          <w:rtl w:val="0"/>
        </w:rPr>
        <w:t xml:space="preserve">Activity 1:</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b w:val="1"/>
          <w:i w:val="1"/>
          <w:highlight w:val="white"/>
          <w:rtl w:val="0"/>
        </w:rPr>
        <w:t xml:space="preserve">Saint Story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life of St. Seraphim of Sarov:</w:t>
      </w:r>
    </w:p>
    <w:p w:rsidR="00000000" w:rsidDel="00000000" w:rsidP="00000000" w:rsidRDefault="00000000" w:rsidRPr="00000000" w14:paraId="0000000A">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https://orthochristian.com/89683.html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was stillness incorporated into his life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How can we take lessons about stillness from his life and apply them in our lives?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ideas stood out to you in the article? Did something surprise you or make you think differently?</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Activity 2: </w:t>
      </w:r>
      <w:r w:rsidDel="00000000" w:rsidR="00000000" w:rsidRPr="00000000">
        <w:rPr>
          <w:rFonts w:ascii="Times New Roman" w:cs="Times New Roman" w:eastAsia="Times New Roman" w:hAnsi="Times New Roman"/>
          <w:b w:val="1"/>
          <w:i w:val="1"/>
          <w:rtl w:val="0"/>
        </w:rPr>
        <w:t xml:space="preserve">Article and Reflection</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article: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https://oca.org/reflections/fr.-john-breck/on-silence-and-stillness</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rPr>
      </w:pPr>
      <w:r w:rsidDel="00000000" w:rsidR="00000000" w:rsidRPr="00000000">
        <w:rPr>
          <w:rtl w:val="0"/>
        </w:rPr>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What is the difference between silence and stillness?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is your current relationship to stillness?</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What can you do to aquire stillness in your everyday life?</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3: Scripture </w:t>
      </w:r>
      <w:r w:rsidDel="00000000" w:rsidR="00000000" w:rsidRPr="00000000">
        <w:rPr>
          <w:rFonts w:ascii="Times New Roman" w:cs="Times New Roman" w:eastAsia="Times New Roman" w:hAnsi="Times New Roman"/>
          <w:b w:val="1"/>
          <w:i w:val="1"/>
          <w:rtl w:val="0"/>
        </w:rPr>
        <w:t xml:space="preserve">Reading</w: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Have participants read the following verses:</w:t>
      </w:r>
      <w:r w:rsidDel="00000000" w:rsidR="00000000" w:rsidRPr="00000000">
        <w:rPr>
          <w:rtl w:val="0"/>
        </w:rPr>
      </w:r>
    </w:p>
    <w:p w:rsidR="00000000" w:rsidDel="00000000" w:rsidP="00000000" w:rsidRDefault="00000000" w:rsidRPr="00000000" w14:paraId="0000001F">
      <w:pPr>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Luke 10: 38-42</w:t>
      </w:r>
    </w:p>
    <w:p w:rsidR="00000000" w:rsidDel="00000000" w:rsidP="00000000" w:rsidRDefault="00000000" w:rsidRPr="00000000" w14:paraId="00000020">
      <w:pPr>
        <w:rPr>
          <w:rFonts w:ascii="Cambria" w:cs="Cambria" w:eastAsia="Cambria" w:hAnsi="Cambria"/>
        </w:rPr>
      </w:pPr>
      <w:r w:rsidDel="00000000" w:rsidR="00000000" w:rsidRPr="00000000">
        <w:rPr>
          <w:rFonts w:ascii="Cambria" w:cs="Cambria" w:eastAsia="Cambria" w:hAnsi="Cambria"/>
          <w:b w:val="1"/>
          <w:sz w:val="18"/>
          <w:szCs w:val="18"/>
          <w:rtl w:val="0"/>
        </w:rPr>
        <w:t xml:space="preserve">“38</w:t>
      </w:r>
      <w:r w:rsidDel="00000000" w:rsidR="00000000" w:rsidRPr="00000000">
        <w:rPr>
          <w:rFonts w:ascii="Cambria" w:cs="Cambria" w:eastAsia="Cambria" w:hAnsi="Cambria"/>
          <w:sz w:val="24"/>
          <w:szCs w:val="24"/>
          <w:rtl w:val="0"/>
        </w:rPr>
        <w:t xml:space="preserve">Now as they went on their way, he entered a village; and a woman named Martha received him into her house. </w:t>
      </w:r>
      <w:r w:rsidDel="00000000" w:rsidR="00000000" w:rsidRPr="00000000">
        <w:rPr>
          <w:rFonts w:ascii="Cambria" w:cs="Cambria" w:eastAsia="Cambria" w:hAnsi="Cambria"/>
          <w:b w:val="1"/>
          <w:sz w:val="18"/>
          <w:szCs w:val="18"/>
          <w:rtl w:val="0"/>
        </w:rPr>
        <w:t xml:space="preserve">39 </w:t>
      </w:r>
      <w:r w:rsidDel="00000000" w:rsidR="00000000" w:rsidRPr="00000000">
        <w:rPr>
          <w:rFonts w:ascii="Cambria" w:cs="Cambria" w:eastAsia="Cambria" w:hAnsi="Cambria"/>
          <w:sz w:val="24"/>
          <w:szCs w:val="24"/>
          <w:rtl w:val="0"/>
        </w:rPr>
        <w:t xml:space="preserve">And she had a sister called Mary, who sat at the Lord’s feet and listened to his teaching. </w:t>
      </w:r>
      <w:r w:rsidDel="00000000" w:rsidR="00000000" w:rsidRPr="00000000">
        <w:rPr>
          <w:rFonts w:ascii="Cambria" w:cs="Cambria" w:eastAsia="Cambria" w:hAnsi="Cambria"/>
          <w:b w:val="1"/>
          <w:sz w:val="18"/>
          <w:szCs w:val="18"/>
          <w:rtl w:val="0"/>
        </w:rPr>
        <w:t xml:space="preserve">40 </w:t>
      </w:r>
      <w:r w:rsidDel="00000000" w:rsidR="00000000" w:rsidRPr="00000000">
        <w:rPr>
          <w:rFonts w:ascii="Cambria" w:cs="Cambria" w:eastAsia="Cambria" w:hAnsi="Cambria"/>
          <w:sz w:val="24"/>
          <w:szCs w:val="24"/>
          <w:rtl w:val="0"/>
        </w:rPr>
        <w:t xml:space="preserve">But Martha was distracted with much serving; and she went to him and said, “Lord, do you not care that my sister has left me to serve alone? Tell her then to help me.” </w:t>
      </w:r>
      <w:r w:rsidDel="00000000" w:rsidR="00000000" w:rsidRPr="00000000">
        <w:rPr>
          <w:rFonts w:ascii="Cambria" w:cs="Cambria" w:eastAsia="Cambria" w:hAnsi="Cambria"/>
          <w:b w:val="1"/>
          <w:sz w:val="18"/>
          <w:szCs w:val="18"/>
          <w:rtl w:val="0"/>
        </w:rPr>
        <w:t xml:space="preserve">41 </w:t>
      </w:r>
      <w:r w:rsidDel="00000000" w:rsidR="00000000" w:rsidRPr="00000000">
        <w:rPr>
          <w:rFonts w:ascii="Cambria" w:cs="Cambria" w:eastAsia="Cambria" w:hAnsi="Cambria"/>
          <w:sz w:val="24"/>
          <w:szCs w:val="24"/>
          <w:rtl w:val="0"/>
        </w:rPr>
        <w:t xml:space="preserve">But the Lord answered her, “Martha, Martha, you are anxious and troubled about many things; </w:t>
      </w:r>
      <w:r w:rsidDel="00000000" w:rsidR="00000000" w:rsidRPr="00000000">
        <w:rPr>
          <w:rFonts w:ascii="Cambria" w:cs="Cambria" w:eastAsia="Cambria" w:hAnsi="Cambria"/>
          <w:b w:val="1"/>
          <w:sz w:val="18"/>
          <w:szCs w:val="18"/>
          <w:rtl w:val="0"/>
        </w:rPr>
        <w:t xml:space="preserve">42 </w:t>
      </w:r>
      <w:r w:rsidDel="00000000" w:rsidR="00000000" w:rsidRPr="00000000">
        <w:rPr>
          <w:rFonts w:ascii="Cambria" w:cs="Cambria" w:eastAsia="Cambria" w:hAnsi="Cambria"/>
          <w:sz w:val="24"/>
          <w:szCs w:val="24"/>
          <w:rtl w:val="0"/>
        </w:rPr>
        <w:t xml:space="preserve">one thing is needful. Mary has chosen the good portion, which shall not be taken away from her.”</w:t>
      </w:r>
      <w:r w:rsidDel="00000000" w:rsidR="00000000" w:rsidRPr="00000000">
        <w:rPr>
          <w:rtl w:val="0"/>
        </w:rPr>
      </w:r>
    </w:p>
    <w:p w:rsidR="00000000" w:rsidDel="00000000" w:rsidP="00000000" w:rsidRDefault="00000000" w:rsidRPr="00000000" w14:paraId="00000021">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2">
      <w:pPr>
        <w:rPr>
          <w:rFonts w:ascii="Playfair Display" w:cs="Playfair Display" w:eastAsia="Playfair Display" w:hAnsi="Playfair Display"/>
          <w:b w:val="1"/>
        </w:rPr>
      </w:pPr>
      <w:r w:rsidDel="00000000" w:rsidR="00000000" w:rsidRPr="00000000">
        <w:rPr>
          <w:rtl w:val="0"/>
        </w:rPr>
      </w:r>
    </w:p>
    <w:p w:rsidR="00000000" w:rsidDel="00000000" w:rsidP="00000000" w:rsidRDefault="00000000" w:rsidRPr="00000000" w14:paraId="00000023">
      <w:pPr>
        <w:rPr>
          <w:rFonts w:ascii="Playfair Display" w:cs="Playfair Display" w:eastAsia="Playfair Display" w:hAnsi="Playfair Display"/>
          <w:b w:val="1"/>
        </w:rPr>
      </w:pPr>
      <w:r w:rsidDel="00000000" w:rsidR="00000000" w:rsidRPr="00000000">
        <w:rPr>
          <w:rFonts w:ascii="Playfair Display" w:cs="Playfair Display" w:eastAsia="Playfair Display" w:hAnsi="Playfair Display"/>
          <w:b w:val="1"/>
          <w:rtl w:val="0"/>
        </w:rPr>
        <w:t xml:space="preserve">Debrief:</w:t>
      </w:r>
    </w:p>
    <w:p w:rsidR="00000000" w:rsidDel="00000000" w:rsidP="00000000" w:rsidRDefault="00000000" w:rsidRPr="00000000" w14:paraId="00000024">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Who are the characters in this passage and what are their roles?</w:t>
      </w:r>
    </w:p>
    <w:p w:rsidR="00000000" w:rsidDel="00000000" w:rsidP="00000000" w:rsidRDefault="00000000" w:rsidRPr="00000000" w14:paraId="00000025">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could we be like Martha in our lives? Mary?</w:t>
      </w:r>
    </w:p>
    <w:p w:rsidR="00000000" w:rsidDel="00000000" w:rsidP="00000000" w:rsidRDefault="00000000" w:rsidRPr="00000000" w14:paraId="00000026">
      <w:pPr>
        <w:numPr>
          <w:ilvl w:val="0"/>
          <w:numId w:val="1"/>
        </w:numPr>
        <w:ind w:left="720" w:hanging="360"/>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How does Mary choose and act out stillness?</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Conclusion: </w:t>
      </w:r>
      <w:r w:rsidDel="00000000" w:rsidR="00000000" w:rsidRPr="00000000">
        <w:rPr>
          <w:rFonts w:ascii="Times New Roman" w:cs="Times New Roman" w:eastAsia="Times New Roman" w:hAnsi="Times New Roman"/>
          <w:b w:val="1"/>
          <w:i w:val="1"/>
          <w:rtl w:val="0"/>
        </w:rPr>
        <w:t xml:space="preserve">Wrap-up and Commitment</w:t>
      </w:r>
    </w:p>
    <w:p w:rsidR="00000000" w:rsidDel="00000000" w:rsidP="00000000" w:rsidRDefault="00000000" w:rsidRPr="00000000" w14:paraId="00000029">
      <w:pPr>
        <w:ind w:left="0" w:firstLine="0"/>
        <w:rPr>
          <w:rFonts w:ascii="Times New Roman" w:cs="Times New Roman" w:eastAsia="Times New Roman" w:hAnsi="Times New Roman"/>
        </w:rPr>
      </w:pPr>
      <w:r w:rsidDel="00000000" w:rsidR="00000000" w:rsidRPr="00000000">
        <w:rPr>
          <w:rFonts w:ascii="Playfair Display" w:cs="Playfair Display" w:eastAsia="Playfair Display" w:hAnsi="Playfair Display"/>
          <w:rtl w:val="0"/>
        </w:rPr>
        <w:t xml:space="preserve">Go around the circle and ask the group to name one way to incorporate stillness into the life of a college student. </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Fonts w:ascii="Times New Roman" w:cs="Times New Roman" w:eastAsia="Times New Roman" w:hAnsi="Times New Roman"/>
          <w:b w:val="1"/>
          <w:u w:val="single"/>
          <w:rtl w:val="0"/>
        </w:rPr>
        <w:t xml:space="preserve">Closing Prayer:</w:t>
      </w:r>
      <w:r w:rsidDel="00000000" w:rsidR="00000000" w:rsidRPr="00000000">
        <w:rPr>
          <w:rtl w:val="0"/>
        </w:rPr>
      </w:r>
    </w:p>
    <w:p w:rsidR="00000000" w:rsidDel="00000000" w:rsidP="00000000" w:rsidRDefault="00000000" w:rsidRPr="00000000" w14:paraId="0000002D">
      <w:pPr>
        <w:shd w:fill="ffffff" w:val="clear"/>
        <w:spacing w:after="2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Oh Lord, You know my heart better than I know it myself. You know my struggles and You hold each hope and fear in Your caring hands. Teach me, LORD, to be still and to know that You are God.</w:t>
      </w:r>
    </w:p>
    <w:p w:rsidR="00000000" w:rsidDel="00000000" w:rsidP="00000000" w:rsidRDefault="00000000" w:rsidRPr="00000000" w14:paraId="0000002E">
      <w:pPr>
        <w:shd w:fill="ffffff" w:val="clear"/>
        <w:spacing w:after="2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You are in Your holy temple; let all the earth, including my mind and heart, be still before You, resting in Your sovereignty. Like Elijah, teach me to wait for Your “still, small voice” and quiet the earthquakes and blazing fires in my life.</w:t>
      </w:r>
    </w:p>
    <w:p w:rsidR="00000000" w:rsidDel="00000000" w:rsidP="00000000" w:rsidRDefault="00000000" w:rsidRPr="00000000" w14:paraId="0000002F">
      <w:pPr>
        <w:shd w:fill="ffffff" w:val="clear"/>
        <w:spacing w:after="2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Replace my restless doing with inner calm, and help me, like Mary, to sit at Your feet in quiet adoration even when there may be a million things clamoring for my attention. As You spoke over the tumultuous sea and storms, so speak over my heart Your peace. </w:t>
      </w:r>
    </w:p>
    <w:p w:rsidR="00000000" w:rsidDel="00000000" w:rsidP="00000000" w:rsidRDefault="00000000" w:rsidRPr="00000000" w14:paraId="00000030">
      <w:pPr>
        <w:shd w:fill="ffffff" w:val="clear"/>
        <w:spacing w:after="280" w:lineRule="auto"/>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Amen.</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1">
      <w:pPr>
        <w:spacing w:after="480" w:before="180" w:line="240" w:lineRule="auto"/>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orthochristian.com/89683.html" TargetMode="External"/><Relationship Id="rId7" Type="http://schemas.openxmlformats.org/officeDocument/2006/relationships/hyperlink" Target="https://oca.org/reflections/fr.-john-breck/on-silence-and-stilln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