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Freedom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confession.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begin to practice confession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Ice breaker: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Tell us your name and share one fact about confession.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teachings of </w:t>
      </w:r>
      <w:r w:rsidDel="00000000" w:rsidR="00000000" w:rsidRPr="00000000">
        <w:rPr>
          <w:rFonts w:ascii="Times New Roman" w:cs="Times New Roman" w:eastAsia="Times New Roman" w:hAnsi="Times New Roman"/>
          <w:i w:val="1"/>
          <w:rtl w:val="0"/>
        </w:rPr>
        <w:t xml:space="preserve">St. Saints Peter and Paul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https://www.goarch.org/chapel/saints?contentid=103</w:t>
        </w:r>
      </w:hyperlink>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connection do these Saints have with confession?</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Peter live as a disciple?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Paul live before he was a disciple?</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can we see repentance in their lives?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live this repentance in our lives?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https://frted.wordpress.com/tag/luke-191-10/</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is true confession in Christ?</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your current relationship to confession?</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our role in confession?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 </w:t>
      </w:r>
    </w:p>
    <w:p w:rsidR="00000000" w:rsidDel="00000000" w:rsidP="00000000" w:rsidRDefault="00000000" w:rsidRPr="00000000" w14:paraId="0000001E">
      <w:pPr>
        <w:rPr>
          <w:rFonts w:ascii="Roboto" w:cs="Roboto" w:eastAsia="Roboto" w:hAnsi="Roboto"/>
          <w:b w:val="1"/>
          <w:color w:val="333333"/>
          <w:sz w:val="34"/>
          <w:szCs w:val="34"/>
        </w:rPr>
      </w:pPr>
      <w:r w:rsidDel="00000000" w:rsidR="00000000" w:rsidRPr="00000000">
        <w:rPr>
          <w:rFonts w:ascii="Times New Roman" w:cs="Times New Roman" w:eastAsia="Times New Roman" w:hAnsi="Times New Roman"/>
          <w:rtl w:val="0"/>
        </w:rPr>
        <w:t xml:space="preserve">Luke 19:1-10</w:t>
      </w: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color w:val="333333"/>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rtl w:val="0"/>
        </w:rPr>
        <w:t xml:space="preserve">He entered Jericho and was passing through. </w:t>
      </w:r>
      <w:r w:rsidDel="00000000" w:rsidR="00000000" w:rsidRPr="00000000">
        <w:rPr>
          <w:rFonts w:ascii="Playfair Display" w:cs="Playfair Display" w:eastAsia="Playfair Display" w:hAnsi="Playfair Display"/>
          <w:b w:val="1"/>
          <w:rtl w:val="0"/>
        </w:rPr>
        <w:t xml:space="preserve">2 </w:t>
      </w:r>
      <w:r w:rsidDel="00000000" w:rsidR="00000000" w:rsidRPr="00000000">
        <w:rPr>
          <w:rFonts w:ascii="Playfair Display" w:cs="Playfair Display" w:eastAsia="Playfair Display" w:hAnsi="Playfair Display"/>
          <w:rtl w:val="0"/>
        </w:rPr>
        <w:t xml:space="preserve">And there was a man named Zacchaeus; he was a chief tax collector, and rich. </w:t>
      </w:r>
      <w:r w:rsidDel="00000000" w:rsidR="00000000" w:rsidRPr="00000000">
        <w:rPr>
          <w:rFonts w:ascii="Playfair Display" w:cs="Playfair Display" w:eastAsia="Playfair Display" w:hAnsi="Playfair Display"/>
          <w:b w:val="1"/>
          <w:rtl w:val="0"/>
        </w:rPr>
        <w:t xml:space="preserve">3 </w:t>
      </w:r>
      <w:r w:rsidDel="00000000" w:rsidR="00000000" w:rsidRPr="00000000">
        <w:rPr>
          <w:rFonts w:ascii="Playfair Display" w:cs="Playfair Display" w:eastAsia="Playfair Display" w:hAnsi="Playfair Display"/>
          <w:rtl w:val="0"/>
        </w:rPr>
        <w:t xml:space="preserve">And he sought to see who Jesus was, but could not, on account of the crowd, because he was small of stature. </w:t>
      </w:r>
      <w:r w:rsidDel="00000000" w:rsidR="00000000" w:rsidRPr="00000000">
        <w:rPr>
          <w:rFonts w:ascii="Playfair Display" w:cs="Playfair Display" w:eastAsia="Playfair Display" w:hAnsi="Playfair Display"/>
          <w:b w:val="1"/>
          <w:rtl w:val="0"/>
        </w:rPr>
        <w:t xml:space="preserve">4 </w:t>
      </w:r>
      <w:r w:rsidDel="00000000" w:rsidR="00000000" w:rsidRPr="00000000">
        <w:rPr>
          <w:rFonts w:ascii="Playfair Display" w:cs="Playfair Display" w:eastAsia="Playfair Display" w:hAnsi="Playfair Display"/>
          <w:rtl w:val="0"/>
        </w:rPr>
        <w:t xml:space="preserve">So he ran on ahead and climbed up into a sycamore tree to see him, for he was to pass that way. </w:t>
      </w:r>
      <w:r w:rsidDel="00000000" w:rsidR="00000000" w:rsidRPr="00000000">
        <w:rPr>
          <w:rFonts w:ascii="Playfair Display" w:cs="Playfair Display" w:eastAsia="Playfair Display" w:hAnsi="Playfair Display"/>
          <w:b w:val="1"/>
          <w:rtl w:val="0"/>
        </w:rPr>
        <w:t xml:space="preserve">5 </w:t>
      </w:r>
      <w:r w:rsidDel="00000000" w:rsidR="00000000" w:rsidRPr="00000000">
        <w:rPr>
          <w:rFonts w:ascii="Playfair Display" w:cs="Playfair Display" w:eastAsia="Playfair Display" w:hAnsi="Playfair Display"/>
          <w:rtl w:val="0"/>
        </w:rPr>
        <w:t xml:space="preserve">And when Jesus came to the place, he looked up and said to him, “Zacchaeus, make haste and come down; for I must stay at your house today.” </w:t>
      </w:r>
      <w:r w:rsidDel="00000000" w:rsidR="00000000" w:rsidRPr="00000000">
        <w:rPr>
          <w:rFonts w:ascii="Playfair Display" w:cs="Playfair Display" w:eastAsia="Playfair Display" w:hAnsi="Playfair Display"/>
          <w:b w:val="1"/>
          <w:rtl w:val="0"/>
        </w:rPr>
        <w:t xml:space="preserve">6 </w:t>
      </w:r>
      <w:r w:rsidDel="00000000" w:rsidR="00000000" w:rsidRPr="00000000">
        <w:rPr>
          <w:rFonts w:ascii="Playfair Display" w:cs="Playfair Display" w:eastAsia="Playfair Display" w:hAnsi="Playfair Display"/>
          <w:rtl w:val="0"/>
        </w:rPr>
        <w:t xml:space="preserve">So he made haste and came down, and received him joyfully.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And when they saw it they all murmured, “He has gone in to be the guest of a man who is a sinner.” </w:t>
      </w:r>
      <w:r w:rsidDel="00000000" w:rsidR="00000000" w:rsidRPr="00000000">
        <w:rPr>
          <w:rFonts w:ascii="Playfair Display" w:cs="Playfair Display" w:eastAsia="Playfair Display" w:hAnsi="Playfair Display"/>
          <w:b w:val="1"/>
          <w:rtl w:val="0"/>
        </w:rPr>
        <w:t xml:space="preserve">8 </w:t>
      </w:r>
      <w:r w:rsidDel="00000000" w:rsidR="00000000" w:rsidRPr="00000000">
        <w:rPr>
          <w:rFonts w:ascii="Playfair Display" w:cs="Playfair Display" w:eastAsia="Playfair Display" w:hAnsi="Playfair Display"/>
          <w:rtl w:val="0"/>
        </w:rPr>
        <w:t xml:space="preserve">And Zacchaeus stood and said to the Lord, “Behold, Lord, the half of my goods I give to the poor; and if I have defrauded any one of anything, I restore it fourfold.” </w:t>
      </w:r>
      <w:r w:rsidDel="00000000" w:rsidR="00000000" w:rsidRPr="00000000">
        <w:rPr>
          <w:rFonts w:ascii="Playfair Display" w:cs="Playfair Display" w:eastAsia="Playfair Display" w:hAnsi="Playfair Display"/>
          <w:b w:val="1"/>
          <w:rtl w:val="0"/>
        </w:rPr>
        <w:t xml:space="preserve">9 </w:t>
      </w:r>
      <w:r w:rsidDel="00000000" w:rsidR="00000000" w:rsidRPr="00000000">
        <w:rPr>
          <w:rFonts w:ascii="Playfair Display" w:cs="Playfair Display" w:eastAsia="Playfair Display" w:hAnsi="Playfair Display"/>
          <w:rtl w:val="0"/>
        </w:rPr>
        <w:t xml:space="preserve">And Jesus said to him, “Today salvation has come to this house, since he also is a son of Abraham. </w:t>
      </w:r>
      <w:r w:rsidDel="00000000" w:rsidR="00000000" w:rsidRPr="00000000">
        <w:rPr>
          <w:rFonts w:ascii="Playfair Display" w:cs="Playfair Display" w:eastAsia="Playfair Display" w:hAnsi="Playfair Display"/>
          <w:b w:val="1"/>
          <w:rtl w:val="0"/>
        </w:rPr>
        <w:t xml:space="preserve">10 </w:t>
      </w:r>
      <w:r w:rsidDel="00000000" w:rsidR="00000000" w:rsidRPr="00000000">
        <w:rPr>
          <w:rFonts w:ascii="Playfair Display" w:cs="Playfair Display" w:eastAsia="Playfair Display" w:hAnsi="Playfair Display"/>
          <w:rtl w:val="0"/>
        </w:rPr>
        <w:t xml:space="preserve">For the Son of man came to seek and to save the lost.”</w:t>
      </w: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2">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does this relate to confession?</w:t>
      </w:r>
    </w:p>
    <w:p w:rsidR="00000000" w:rsidDel="00000000" w:rsidP="00000000" w:rsidRDefault="00000000" w:rsidRPr="00000000" w14:paraId="0000002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Why was Zacchaeus in the tree?</w:t>
      </w:r>
    </w:p>
    <w:p w:rsidR="00000000" w:rsidDel="00000000" w:rsidP="00000000" w:rsidRDefault="00000000" w:rsidRPr="00000000" w14:paraId="0000002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the confession of Zacchaeus?</w:t>
      </w:r>
    </w:p>
    <w:p w:rsidR="00000000" w:rsidDel="00000000" w:rsidP="00000000" w:rsidRDefault="00000000" w:rsidRPr="00000000" w14:paraId="00000025">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seek out God and live in this way of repentance?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confession into the life of a college student.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highlight w:val="white"/>
          <w:rtl w:val="0"/>
        </w:rPr>
        <w:t xml:space="preserve">O Lord God of my salvation, the Savior and Benefactor of my soul, I am truly sorry for my every transgression and I firmly resolve never again to offend thee by my sins, and sincerely promise to amend my way of life. Implant in me the fear of thy blessed commandments, that I may trample down all carnal appetite and may lead a godly life, both thinking and doing always such things as are pleasing unto You. I pray to You, grant unto me the Grace of Your Holy Spirit, that strengthened, I may shun all evil deeds and works, and words and thoughts, and may avoid all snares of the Evil One. Shine in my heart with the true Sun of Your Righteousness; enlighten my mind and guard all my senses, that walking uprightly in the way of Your statutes, I may attain life eternal.”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Amen.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eorgia" w:cs="Georgia" w:eastAsia="Georgia" w:hAnsi="Georgia"/>
          <w:highlight w:val="white"/>
        </w:rPr>
      </w:pPr>
      <w:r w:rsidDel="00000000" w:rsidR="00000000" w:rsidRPr="00000000">
        <w:rPr>
          <w:rFonts w:ascii="Georgia" w:cs="Georgia" w:eastAsia="Georgia" w:hAnsi="Georgia"/>
          <w:highlight w:val="white"/>
          <w:rtl w:val="0"/>
        </w:rPr>
        <w:t xml:space="preserve">(</w:t>
      </w:r>
      <w:hyperlink r:id="rId8">
        <w:r w:rsidDel="00000000" w:rsidR="00000000" w:rsidRPr="00000000">
          <w:rPr>
            <w:rFonts w:ascii="Georgia" w:cs="Georgia" w:eastAsia="Georgia" w:hAnsi="Georgia"/>
            <w:color w:val="1155cc"/>
            <w:highlight w:val="white"/>
            <w:u w:val="single"/>
            <w:rtl w:val="0"/>
          </w:rPr>
          <w:t xml:space="preserve">http://ww1.antiochian.org/orthodox-prayers/prayers-after-confession</w:t>
        </w:r>
      </w:hyperlink>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highlight w:val="whit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arch.org/chapel/saints?contentid=103" TargetMode="External"/><Relationship Id="rId7" Type="http://schemas.openxmlformats.org/officeDocument/2006/relationships/hyperlink" Target="https://frted.wordpress.com/tag/luke-191-10/" TargetMode="External"/><Relationship Id="rId8" Type="http://schemas.openxmlformats.org/officeDocument/2006/relationships/hyperlink" Target="http://ww1.antiochian.org/orthodox-prayers/prayers-after-confe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